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1</w:t>
      </w:r>
      <w:r w:rsidDel="00000000" w:rsidR="00000000" w:rsidRPr="00000000">
        <w:rPr>
          <w:rtl w:val="0"/>
        </w:rPr>
      </w:r>
    </w:p>
    <w:tbl>
      <w:tblPr>
        <w:tblStyle w:val="Table1"/>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390"/>
        <w:gridCol w:w="4500"/>
        <w:tblGridChange w:id="0">
          <w:tblGrid>
            <w:gridCol w:w="1740"/>
            <w:gridCol w:w="3390"/>
            <w:gridCol w:w="4500"/>
          </w:tblGrid>
        </w:tblGridChange>
      </w:tblGrid>
      <w:tr>
        <w:trPr>
          <w:trHeight w:val="178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drawing>
                <wp:inline distB="114300" distT="114300" distL="114300" distR="114300">
                  <wp:extent cx="876300" cy="819150"/>
                  <wp:effectExtent b="0" l="0" r="0" t="0"/>
                  <wp:docPr id="1"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Communities work when members follow shared rules and routines. </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Responsibility, Connection, Reflection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Working and playing together in school</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Using and sharing public spaces </w:t>
            </w:r>
          </w:p>
          <w:p w:rsidR="00000000" w:rsidDel="00000000" w:rsidP="00000000" w:rsidRDefault="00000000" w:rsidRPr="00000000">
            <w:pPr>
              <w:widowControl w:val="0"/>
              <w:spacing w:after="0"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Making responsible decisions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Community, organisation, responsibility, rules, routines, public places, bank, market, post office, library, swimming pool, supermarket, parks, outdoors.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UNIT OF INQUIRY 2</w:t>
      </w:r>
      <w:r w:rsidDel="00000000" w:rsidR="00000000" w:rsidRPr="00000000">
        <w:rPr>
          <w:rtl w:val="0"/>
        </w:rPr>
      </w:r>
    </w:p>
    <w:tbl>
      <w:tblPr>
        <w:tblStyle w:val="Table2"/>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360"/>
        <w:gridCol w:w="4530"/>
        <w:tblGridChange w:id="0">
          <w:tblGrid>
            <w:gridCol w:w="1740"/>
            <w:gridCol w:w="3360"/>
            <w:gridCol w:w="4530"/>
          </w:tblGrid>
        </w:tblGridChange>
      </w:tblGrid>
      <w:tr>
        <w:trPr>
          <w:trHeight w:val="150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76300" cy="819150"/>
                  <wp:effectExtent b="0" l="0" r="0" t="0"/>
                  <wp:docPr id="3"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876300" cy="81915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Central Idea</w:t>
            </w:r>
          </w:p>
          <w:p w:rsidR="00000000" w:rsidDel="00000000" w:rsidP="00000000" w:rsidRDefault="00000000" w:rsidRPr="00000000">
            <w:pPr>
              <w:widowControl w:val="0"/>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People express themselves through different forms of visual arts.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Key Concepts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Form, Perspective</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Lines of Inquiry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The different ways artists express themselves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Techniques used in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styles of world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Key Vocabulary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 shades, clay, artist, expression, sculpture, design, techniques, emotions, feelings.</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LANGUAGE</w:t>
      </w:r>
      <w:r w:rsidDel="00000000" w:rsidR="00000000" w:rsidRPr="00000000">
        <w:rPr>
          <w:rtl w:val="0"/>
        </w:rPr>
      </w:r>
    </w:p>
    <w:tbl>
      <w:tblPr>
        <w:tblStyle w:val="Table3"/>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870"/>
        <w:gridCol w:w="4020"/>
        <w:tblGridChange w:id="0">
          <w:tblGrid>
            <w:gridCol w:w="1740"/>
            <w:gridCol w:w="3870"/>
            <w:gridCol w:w="402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933450" cy="838200"/>
                  <wp:effectExtent b="0" l="0" r="0" t="0"/>
                  <wp:docPr id="8" name="image17.gif"/>
                  <a:graphic>
                    <a:graphicData uri="http://schemas.openxmlformats.org/drawingml/2006/picture">
                      <pic:pic>
                        <pic:nvPicPr>
                          <pic:cNvPr id="0" name="image17.gif"/>
                          <pic:cNvPicPr preferRelativeResize="0"/>
                        </pic:nvPicPr>
                        <pic:blipFill>
                          <a:blip r:embed="rId7"/>
                          <a:srcRect b="0" l="0" r="0" t="0"/>
                          <a:stretch>
                            <a:fillRect/>
                          </a:stretch>
                        </pic:blipFill>
                        <pic:spPr>
                          <a:xfrm>
                            <a:off x="0" y="0"/>
                            <a:ext cx="933450" cy="8382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Reading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Children will read individually and within a guided reading session weekly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Non-Fiction: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Reading and looking at non-fiction books to find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Identify the features of a non-fiction text and compare to fiction.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cyan"/>
              </w:rPr>
            </w:pPr>
            <w:r w:rsidDel="00000000" w:rsidR="00000000" w:rsidRPr="00000000">
              <w:rPr>
                <w:rFonts w:ascii="Trebuchet MS" w:cs="Trebuchet MS" w:eastAsia="Trebuchet MS" w:hAnsi="Trebuchet MS"/>
                <w:sz w:val="18"/>
                <w:szCs w:val="18"/>
                <w:rtl w:val="0"/>
              </w:rPr>
              <w:t xml:space="preserve">Explore different types of nonfiction texts ie leaflets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Fiction: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cyan"/>
              </w:rPr>
            </w:pPr>
            <w:r w:rsidDel="00000000" w:rsidR="00000000" w:rsidRPr="00000000">
              <w:rPr>
                <w:rFonts w:ascii="Trebuchet MS" w:cs="Trebuchet MS" w:eastAsia="Trebuchet MS" w:hAnsi="Trebuchet MS"/>
                <w:sz w:val="18"/>
                <w:szCs w:val="18"/>
                <w:rtl w:val="0"/>
              </w:rPr>
              <w:t xml:space="preserve">Explore known/familiar stories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Variety of Traditional and fairy tales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Phonics, Spelling and Vocabulary</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Shows an awareness of sound-symbol relationships</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Daily phonics sessions in differentiated groups (Letters and Sounds Phases 2-3)</w:t>
            </w:r>
          </w:p>
          <w:p w:rsidR="00000000" w:rsidDel="00000000" w:rsidP="00000000" w:rsidRDefault="00000000" w:rsidRPr="00000000">
            <w:pP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Can apply learnt phonemes, graphemes and tricky words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Tricky and High Frequency words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Learn to read and write Phase 2, 3 and 4 tricky words according to ability and use them in simple sentence construction.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Phase 2:</w:t>
            </w:r>
            <w:r w:rsidDel="00000000" w:rsidR="00000000" w:rsidRPr="00000000">
              <w:rPr>
                <w:rFonts w:ascii="Trebuchet MS" w:cs="Trebuchet MS" w:eastAsia="Trebuchet MS" w:hAnsi="Trebuchet MS"/>
                <w:sz w:val="18"/>
                <w:szCs w:val="18"/>
                <w:rtl w:val="0"/>
              </w:rPr>
              <w:t xml:space="preserve"> No, go, I, the, to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Phase 3:</w:t>
            </w:r>
            <w:r w:rsidDel="00000000" w:rsidR="00000000" w:rsidRPr="00000000">
              <w:rPr>
                <w:rFonts w:ascii="Trebuchet MS" w:cs="Trebuchet MS" w:eastAsia="Trebuchet MS" w:hAnsi="Trebuchet MS"/>
                <w:sz w:val="18"/>
                <w:szCs w:val="18"/>
                <w:rtl w:val="0"/>
              </w:rPr>
              <w:t xml:space="preserve"> he, she, we, me, be, was, you, they, all, are, my, 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b w:val="1"/>
                <w:sz w:val="18"/>
                <w:szCs w:val="18"/>
                <w:rtl w:val="0"/>
              </w:rPr>
              <w:t xml:space="preserve">Phase 4:</w:t>
            </w:r>
            <w:r w:rsidDel="00000000" w:rsidR="00000000" w:rsidRPr="00000000">
              <w:rPr>
                <w:rFonts w:ascii="Trebuchet MS" w:cs="Trebuchet MS" w:eastAsia="Trebuchet MS" w:hAnsi="Trebuchet MS"/>
                <w:sz w:val="18"/>
                <w:szCs w:val="18"/>
                <w:rtl w:val="0"/>
              </w:rPr>
              <w:t xml:space="preserve">  said, have, like, so, do, some, come, were, there, little, one, when, out, want </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Writing</w:t>
            </w:r>
          </w:p>
          <w:p w:rsidR="00000000" w:rsidDel="00000000" w:rsidP="00000000" w:rsidRDefault="00000000" w:rsidRPr="00000000">
            <w:pPr>
              <w:widowControl w:val="0"/>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Write sentences using capital letters, full stops and  conjunctions to join ideas.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Fiction:</w:t>
            </w:r>
            <w:r w:rsidDel="00000000" w:rsidR="00000000" w:rsidRPr="00000000">
              <w:rPr>
                <w:rFonts w:ascii="Trebuchet MS" w:cs="Trebuchet MS" w:eastAsia="Trebuchet MS" w:hAnsi="Trebuchet MS"/>
                <w:b w:val="1"/>
                <w:sz w:val="18"/>
                <w:szCs w:val="18"/>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be able to organise and discuss simple story structure.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Write and discuss simple stories based on familiar books independently.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use a range of vocabulary associated with storytelling.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begin to understand and use story structure ie ‘once upon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Non Fiction: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Recount - Recall and record personal events orally and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Inform - To collect and present information about different communities (home/school)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u w:val="single"/>
                <w:rtl w:val="0"/>
              </w:rPr>
              <w:t xml:space="preserve">Handwriting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Practise individual letters, learning different joins using cursive script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Grammar and punctuation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Building sentences using capital letters, full stops, finger spacing correctly and conjunctions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identify past and present tense ands begin to use in writing.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use adjectives to add detail.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To write a label or caption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Sequence information in time order in a logical way.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MATHS</w:t>
      </w:r>
      <w:r w:rsidDel="00000000" w:rsidR="00000000" w:rsidRPr="00000000">
        <w:rPr>
          <w:rtl w:val="0"/>
        </w:rPr>
      </w:r>
    </w:p>
    <w:tbl>
      <w:tblPr>
        <w:tblStyle w:val="Table4"/>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5655"/>
        <w:gridCol w:w="2235"/>
        <w:tblGridChange w:id="0">
          <w:tblGrid>
            <w:gridCol w:w="1740"/>
            <w:gridCol w:w="5655"/>
            <w:gridCol w:w="223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95350" cy="814388"/>
                  <wp:effectExtent b="0" l="0" r="0" t="0"/>
                  <wp:docPr id="5" name="image14.gif"/>
                  <a:graphic>
                    <a:graphicData uri="http://schemas.openxmlformats.org/drawingml/2006/picture">
                      <pic:pic>
                        <pic:nvPicPr>
                          <pic:cNvPr id="0" name="image14.gif"/>
                          <pic:cNvPicPr preferRelativeResize="0"/>
                        </pic:nvPicPr>
                        <pic:blipFill>
                          <a:blip r:embed="rId8"/>
                          <a:srcRect b="0" l="0" r="0" t="0"/>
                          <a:stretch>
                            <a:fillRect/>
                          </a:stretch>
                        </pic:blipFill>
                        <pic:spPr>
                          <a:xfrm>
                            <a:off x="0" y="0"/>
                            <a:ext cx="895350" cy="8143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Integrated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Number and Place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Model numbers to one hundred using using concrete materials and the base 10 place value system.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rtl w:val="0"/>
              </w:rPr>
              <w:t xml:space="preserve">Count to and across 100, forwards and backwards, beginning with 0 or 1, or from any given number.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Measurement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Money: </w:t>
            </w:r>
            <w:r w:rsidDel="00000000" w:rsidR="00000000" w:rsidRPr="00000000">
              <w:rPr>
                <w:rFonts w:ascii="Trebuchet MS" w:cs="Trebuchet MS" w:eastAsia="Trebuchet MS" w:hAnsi="Trebuchet MS"/>
                <w:sz w:val="18"/>
                <w:szCs w:val="18"/>
                <w:rtl w:val="0"/>
              </w:rPr>
              <w:t xml:space="preserve">Recognise and know the value of different denominations of coins and notes.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Shape and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and name common 2D shapes (e.g. rectangles including squares, circles and triangles) and 3D shapes (e.g. cuboids including cubes, pyramids and spheres) in different orientations and sizes.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Represent ideas about the real world using geometric vocabulary and symbols, e.g. through oral description, drawing, modelling, labelling.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Data Handling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Block graphs: Collect, represent and interpret data in simple </w:t>
            </w:r>
            <w:r w:rsidDel="00000000" w:rsidR="00000000" w:rsidRPr="00000000">
              <w:rPr>
                <w:rFonts w:ascii="Trebuchet MS" w:cs="Trebuchet MS" w:eastAsia="Trebuchet MS" w:hAnsi="Trebuchet MS"/>
                <w:color w:val="0b0c0c"/>
                <w:sz w:val="18"/>
                <w:szCs w:val="18"/>
                <w:highlight w:val="white"/>
                <w:rtl w:val="0"/>
              </w:rPr>
              <w:t xml:space="preserve">pictograms, tally charts, block diagrams and tables.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Pictograph: Create pictographs and tally marks.Create living graphs using real objects and people. Describe real objects and events by  attributes.</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Stand Alone Maths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b w:val="1"/>
                <w:sz w:val="18"/>
                <w:szCs w:val="18"/>
                <w:highlight w:val="white"/>
                <w:u w:val="single"/>
                <w:rtl w:val="0"/>
              </w:rPr>
              <w:t xml:space="preserve">Number and Place Value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Numbers to 100.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Counting forwards and backwards in 1s, 2s,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5s and 10s.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One more, one less.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Addition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highlight w:val="white"/>
              </w:rPr>
            </w:pPr>
            <w:r w:rsidDel="00000000" w:rsidR="00000000" w:rsidRPr="00000000">
              <w:rPr>
                <w:rFonts w:ascii="Trebuchet MS" w:cs="Trebuchet MS" w:eastAsia="Trebuchet MS" w:hAnsi="Trebuchet MS"/>
                <w:sz w:val="18"/>
                <w:szCs w:val="18"/>
                <w:highlight w:val="white"/>
                <w:rtl w:val="0"/>
              </w:rPr>
              <w:t xml:space="preserve">Subtraction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highlight w:val="white"/>
                <w:u w:val="single"/>
                <w:rtl w:val="0"/>
              </w:rPr>
              <w:t xml:space="preserve">Number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Addition &amp; Subtraction: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language of addition and subtraction, e.g. add, take away, plus, minus, sum, difference.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Model addition and subtraction of whole numbers.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highlight w:val="white"/>
                <w:u w:val="single"/>
              </w:rPr>
            </w:pPr>
            <w:r w:rsidDel="00000000" w:rsidR="00000000" w:rsidRPr="00000000">
              <w:rPr>
                <w:rFonts w:ascii="Trebuchet MS" w:cs="Trebuchet MS" w:eastAsia="Trebuchet MS" w:hAnsi="Trebuchet MS"/>
                <w:sz w:val="18"/>
                <w:szCs w:val="18"/>
                <w:rtl w:val="0"/>
              </w:rPr>
              <w:t xml:space="preserve">Represent number bonds and related subtraction facts within 20.</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b w:val="1"/>
        </w:rPr>
      </w:pPr>
      <w:r w:rsidDel="00000000" w:rsidR="00000000" w:rsidRPr="00000000">
        <w:rPr>
          <w:rFonts w:ascii="Trebuchet MS" w:cs="Trebuchet MS" w:eastAsia="Trebuchet MS" w:hAnsi="Trebuchet MS"/>
          <w:b w:val="1"/>
          <w:sz w:val="24"/>
          <w:szCs w:val="24"/>
          <w:rtl w:val="0"/>
        </w:rPr>
        <w:t xml:space="preserve">ICT</w:t>
      </w:r>
      <w:r w:rsidDel="00000000" w:rsidR="00000000" w:rsidRPr="00000000">
        <w:rPr>
          <w:rtl w:val="0"/>
        </w:rPr>
      </w:r>
    </w:p>
    <w:tbl>
      <w:tblPr>
        <w:tblStyle w:val="Table5"/>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5700"/>
        <w:gridCol w:w="2190"/>
        <w:tblGridChange w:id="0">
          <w:tblGrid>
            <w:gridCol w:w="1740"/>
            <w:gridCol w:w="5700"/>
            <w:gridCol w:w="2190"/>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822614" cy="723900"/>
                  <wp:effectExtent b="0" l="0" r="0" t="0"/>
                  <wp:docPr id="7"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822614" cy="723900"/>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Integrated ICT: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Investigating: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internet to find simple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Creating: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labelled pictures to share new learning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Communicating: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Record and present information using a camera (e.g.photos and video)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Collaborating: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Use tools to support collaborating with peers. Sharing iPads to use apps. Taking turns on the IWB to play games /use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Creating: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sz w:val="18"/>
                <w:szCs w:val="18"/>
                <w:rtl w:val="0"/>
              </w:rPr>
              <w:t xml:space="preserve">Can find most letters on the keyboard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Organising: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 can print my documents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Stand Alone 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Responsible Digital Citizen: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Use the IT equipment responsibly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Responsible Digital Citizen: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40"/>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Ask parents and teachers for permission before using the internet</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ART</w:t>
      </w:r>
      <w:r w:rsidDel="00000000" w:rsidR="00000000" w:rsidRPr="00000000">
        <w:rPr>
          <w:rtl w:val="0"/>
        </w:rPr>
      </w:r>
    </w:p>
    <w:tbl>
      <w:tblPr>
        <w:tblStyle w:val="Table6"/>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830"/>
        <w:gridCol w:w="3060"/>
        <w:tblGridChange w:id="0">
          <w:tblGrid>
            <w:gridCol w:w="1740"/>
            <w:gridCol w:w="4830"/>
            <w:gridCol w:w="3060"/>
          </w:tblGrid>
        </w:tblGridChange>
      </w:tblGrid>
      <w:tr>
        <w:trPr>
          <w:trHeight w:val="1920" w:hRule="atLeast"/>
        </w:trP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671513" cy="671513"/>
                  <wp:effectExtent b="0" l="0" r="0" t="0"/>
                  <wp:docPr id="2"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71513" cy="671513"/>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right="140" w:firstLine="0"/>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Drawing and sketching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Pencil skills- create shapes, lines, patterns, and focus on size.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Explore how these can be organised together to create a piece of art.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Artist : Hundertwasser- shapes and patterns found in his artwork and buildings. Joan Miro- lines to create an artwork</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Introducing the art room- things to find out and equipment use.Rules etc.</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u w:val="single"/>
              </w:rPr>
            </w:pPr>
            <w:r w:rsidDel="00000000" w:rsidR="00000000" w:rsidRPr="00000000">
              <w:rPr>
                <w:rFonts w:ascii="Trebuchet MS" w:cs="Trebuchet MS" w:eastAsia="Trebuchet MS" w:hAnsi="Trebuchet MS"/>
                <w:b w:val="1"/>
                <w:sz w:val="18"/>
                <w:szCs w:val="18"/>
                <w:u w:val="single"/>
                <w:rtl w:val="0"/>
              </w:rPr>
              <w:t xml:space="preserve">Painting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Colour mixing, using paint and brushes.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Primary colours and colour mixing.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Different artist styles. Brush strokes-Van Gogh,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Claude Monet, Georges Seurat.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Aboriginal dot painting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Using different resources to paint with.</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FRENCH</w:t>
      </w:r>
    </w:p>
    <w:tbl>
      <w:tblPr>
        <w:tblStyle w:val="Table7"/>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4065"/>
        <w:gridCol w:w="3825"/>
        <w:tblGridChange w:id="0">
          <w:tblGrid>
            <w:gridCol w:w="1740"/>
            <w:gridCol w:w="4065"/>
            <w:gridCol w:w="382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716056" cy="676275"/>
                  <wp:effectExtent b="0" l="0" r="0" t="0"/>
                  <wp:docPr id="6" name="image15.jpg"/>
                  <a:graphic>
                    <a:graphicData uri="http://schemas.openxmlformats.org/drawingml/2006/picture">
                      <pic:pic>
                        <pic:nvPicPr>
                          <pic:cNvPr id="0" name="image15.jpg"/>
                          <pic:cNvPicPr preferRelativeResize="0"/>
                        </pic:nvPicPr>
                        <pic:blipFill>
                          <a:blip r:embed="rId11"/>
                          <a:srcRect b="0" l="0" r="0" t="0"/>
                          <a:stretch>
                            <a:fillRect/>
                          </a:stretch>
                        </pic:blipFill>
                        <pic:spPr>
                          <a:xfrm>
                            <a:off x="0" y="0"/>
                            <a:ext cx="71605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Introduce family members -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Qui est dans ta famille? Who is in your family. How many brothers/sisters do you have?. Numbers to 10 and beyond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Colours - Les feux d’artifice/Arc en ciel</w:t>
            </w:r>
            <w:r w:rsidDel="00000000" w:rsidR="00000000" w:rsidRPr="00000000">
              <w:rPr>
                <w:rFonts w:ascii="Trebuchet MS" w:cs="Trebuchet MS" w:eastAsia="Trebuchet MS" w:hAnsi="Trebuchet MS"/>
                <w:sz w:val="18"/>
                <w:szCs w:val="18"/>
                <w:u w:val="single"/>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u w:val="single"/>
              </w:rPr>
            </w:pPr>
            <w:r w:rsidDel="00000000" w:rsidR="00000000" w:rsidRPr="00000000">
              <w:rPr>
                <w:rFonts w:ascii="Trebuchet MS" w:cs="Trebuchet MS" w:eastAsia="Trebuchet MS" w:hAnsi="Trebuchet MS"/>
                <w:sz w:val="18"/>
                <w:szCs w:val="18"/>
                <w:rtl w:val="0"/>
              </w:rPr>
              <w:t xml:space="preserve">Parts of the body - songs and rhymes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Listen to stories and songs related to Christmas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Recognise familiar language in Winter stories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 Le bonhomme de Neige’, Froid, blanc.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‘L’echarpe la plus longue du monde’, days of the week, colours.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Fonts w:ascii="Trebuchet MS" w:cs="Trebuchet MS" w:eastAsia="Trebuchet MS" w:hAnsi="Trebuchet MS"/>
          <w:b w:val="1"/>
          <w:rtl w:val="0"/>
        </w:rPr>
        <w:t xml:space="preserve">MUSIC</w:t>
      </w:r>
      <w:r w:rsidDel="00000000" w:rsidR="00000000" w:rsidRPr="00000000">
        <w:rPr>
          <w:rtl w:val="0"/>
        </w:rPr>
      </w:r>
    </w:p>
    <w:tbl>
      <w:tblPr>
        <w:tblStyle w:val="Table8"/>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615"/>
        <w:gridCol w:w="4275"/>
        <w:tblGridChange w:id="0">
          <w:tblGrid>
            <w:gridCol w:w="1740"/>
            <w:gridCol w:w="3615"/>
            <w:gridCol w:w="427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1084533" cy="661988"/>
                  <wp:effectExtent b="0" l="0" r="0" t="0"/>
                  <wp:docPr id="9"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1084533" cy="661988"/>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Within unit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T1A: The class as a small music community: how should we use the music classroom as a shared space during or out of music lessons?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Developing habits and attitudes towards the proper use of instruments, safe use of electrical instruments and amps; the use of headphones for non-music class purposes.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T1B: Famous paintings that were inspired by music, and famous music pieces that were inspired by paintings.</w:t>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Stand alone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Singing: songs from the jack and the Beanstalk series. Sing songs, in unison and two parts,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with clear diction, control of pitch, a sense of phrase and musical expression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Instruments, rhythm skills:  tempo, beat, keeping in time and long/short.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Learn play several note lengths on percussion instruments: eighth, quarter and half notes, as well as half rests.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Start learning related music symbols.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Preparations for the Winter Show</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 PE</w:t>
      </w:r>
    </w:p>
    <w:tbl>
      <w:tblPr>
        <w:tblStyle w:val="Table9"/>
        <w:tblW w:w="9630.0" w:type="dxa"/>
        <w:jc w:val="left"/>
        <w:tblInd w:w="28.34645669291339" w:type="pct"/>
        <w:tblBorders>
          <w:top w:color="1c4587" w:space="0" w:sz="12" w:val="single"/>
          <w:left w:color="1c4587" w:space="0" w:sz="12" w:val="single"/>
          <w:bottom w:color="1c4587" w:space="0" w:sz="12" w:val="single"/>
          <w:right w:color="1c4587" w:space="0" w:sz="12" w:val="single"/>
          <w:insideH w:color="1c4587" w:space="0" w:sz="12" w:val="single"/>
          <w:insideV w:color="1c4587" w:space="0" w:sz="12" w:val="single"/>
        </w:tblBorders>
        <w:tblLayout w:type="fixed"/>
        <w:tblLook w:val="0600"/>
      </w:tblPr>
      <w:tblGrid>
        <w:gridCol w:w="1740"/>
        <w:gridCol w:w="3465"/>
        <w:gridCol w:w="4425"/>
        <w:tblGridChange w:id="0">
          <w:tblGrid>
            <w:gridCol w:w="1740"/>
            <w:gridCol w:w="3465"/>
            <w:gridCol w:w="4425"/>
          </w:tblGrid>
        </w:tblGridChange>
      </w:tblGrid>
      <w:tr>
        <w:tc>
          <w:tcPr>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Pr>
              <w:drawing>
                <wp:inline distB="114300" distT="114300" distL="114300" distR="114300">
                  <wp:extent cx="867886" cy="676275"/>
                  <wp:effectExtent b="0" l="0" r="0" t="0"/>
                  <wp:docPr id="4"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867886" cy="676275"/>
                          </a:xfrm>
                          <a:prstGeom prst="rect"/>
                          <a:ln/>
                        </pic:spPr>
                      </pic:pic>
                    </a:graphicData>
                  </a:graphic>
                </wp:inline>
              </w:drawing>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Movement Composition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i w:val="1"/>
                <w:sz w:val="18"/>
                <w:szCs w:val="18"/>
              </w:rPr>
            </w:pPr>
            <w:r w:rsidDel="00000000" w:rsidR="00000000" w:rsidRPr="00000000">
              <w:rPr>
                <w:rFonts w:ascii="Trebuchet MS" w:cs="Trebuchet MS" w:eastAsia="Trebuchet MS" w:hAnsi="Trebuchet MS"/>
                <w:sz w:val="18"/>
                <w:szCs w:val="18"/>
                <w:rtl w:val="0"/>
              </w:rPr>
              <w:t xml:space="preserve">Students will begin to develop throwing, catching, bouncing and kicking skills with an emphasis on improving hand-eye coordination. They will work independently and in pairs to practice these skills and will start to apply them in small games.</w:t>
            </w:r>
            <w:r w:rsidDel="00000000" w:rsidR="00000000" w:rsidRPr="00000000">
              <w:rPr>
                <w:rtl w:val="0"/>
              </w:rPr>
            </w:r>
          </w:p>
        </w:tc>
        <w:tc>
          <w:tcPr>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Health- Related Fitness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Students will participate in a range of running and relay activities to develop their speed, endurance and agility. Through these activities, they will begin to develop an understanding of how our body changes during exercise. Continuing to develop spatial awareness and locomotion skills is also an important aspect of PE in Year 1.</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rPr>
      </w:pPr>
      <w:r w:rsidDel="00000000" w:rsidR="00000000" w:rsidRPr="00000000">
        <w:rPr>
          <w:rtl w:val="0"/>
        </w:rPr>
      </w:r>
    </w:p>
    <w:sectPr>
      <w:headerReference r:id="rId14" w:type="default"/>
      <w:pgSz w:h="15840" w:w="12240"/>
      <w:pgMar w:bottom="1440.0000000000002" w:top="1440.0000000000002" w:left="1440.0000000000002"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1"/>
        <w:sz w:val="28"/>
        <w:szCs w:val="28"/>
      </w:rPr>
    </w:pPr>
    <w:r w:rsidDel="00000000" w:rsidR="00000000" w:rsidRPr="00000000">
      <w:rPr>
        <w:rtl w:val="0"/>
      </w:rPr>
    </w:r>
  </w:p>
  <w:tbl>
    <w:tblPr>
      <w:tblStyle w:val="Table10"/>
      <w:tblW w:w="9600.0" w:type="dxa"/>
      <w:jc w:val="left"/>
      <w:tblInd w:w="100.0" w:type="pct"/>
      <w:tblLayout w:type="fixed"/>
      <w:tblLook w:val="0600"/>
    </w:tblPr>
    <w:tblGrid>
      <w:gridCol w:w="7800"/>
      <w:gridCol w:w="1800"/>
      <w:tblGridChange w:id="0">
        <w:tblGrid>
          <w:gridCol w:w="7800"/>
          <w:gridCol w:w="1800"/>
        </w:tblGrid>
      </w:tblGridChange>
    </w:tblGrid>
    <w:tr>
      <w:trPr>
        <w:trHeight w:val="1020" w:hRule="atLeast"/>
      </w:trPr>
      <w:tc>
        <w:tcPr>
          <w:shd w:fill="auto" w:val="clear"/>
          <w:tcMar>
            <w:top w:w="100.0" w:type="dxa"/>
            <w:left w:w="100.0" w:type="dxa"/>
            <w:bottom w:w="100.0" w:type="dxa"/>
            <w:right w:w="10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99.9999999999998" w:firstLine="0"/>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Year 1 Curriculum Overview Term 1 2017-18</w:t>
          </w:r>
        </w:p>
      </w:tc>
      <w:tc>
        <w:tcPr>
          <w:shd w:fill="auto" w:val="clear"/>
          <w:tcMar>
            <w:top w:w="17.007874015748033" w:type="dxa"/>
            <w:left w:w="17.007874015748033" w:type="dxa"/>
            <w:bottom w:w="17.007874015748033" w:type="dxa"/>
            <w:right w:w="17.007874015748033"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315"/>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114300" distT="114300" distL="114300" distR="114300">
                <wp:extent cx="733425" cy="733425"/>
                <wp:effectExtent b="0" l="0" r="0" t="0"/>
                <wp:docPr id="10" name="image19.jpg"/>
                <a:graphic>
                  <a:graphicData uri="http://schemas.openxmlformats.org/drawingml/2006/picture">
                    <pic:pic>
                      <pic:nvPicPr>
                        <pic:cNvPr id="0" name="image19.jp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left"/>
      <w:rPr>
        <w:sz w:val="16"/>
        <w:szCs w:val="16"/>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jpg"/><Relationship Id="rId10" Type="http://schemas.openxmlformats.org/officeDocument/2006/relationships/image" Target="media/image10.png"/><Relationship Id="rId13" Type="http://schemas.openxmlformats.org/officeDocument/2006/relationships/image" Target="media/image13.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jpg"/><Relationship Id="rId14" Type="http://schemas.openxmlformats.org/officeDocument/2006/relationships/header" Target="header1.xml"/><Relationship Id="rId5" Type="http://schemas.openxmlformats.org/officeDocument/2006/relationships/image" Target="media/image8.png"/><Relationship Id="rId6" Type="http://schemas.openxmlformats.org/officeDocument/2006/relationships/image" Target="media/image11.png"/><Relationship Id="rId7" Type="http://schemas.openxmlformats.org/officeDocument/2006/relationships/image" Target="media/image17.gif"/><Relationship Id="rId8" Type="http://schemas.openxmlformats.org/officeDocument/2006/relationships/image" Target="media/image14.gif"/></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