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UNIT OF INQUIRY 1</w:t>
      </w:r>
      <w:r w:rsidDel="00000000" w:rsidR="00000000" w:rsidRPr="00000000">
        <w:rPr>
          <w:rtl w:val="0"/>
        </w:rPr>
      </w:r>
    </w:p>
    <w:tbl>
      <w:tblPr>
        <w:tblStyle w:val="Table1"/>
        <w:tblW w:w="9990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3765"/>
        <w:gridCol w:w="4485"/>
        <w:tblGridChange w:id="0">
          <w:tblGrid>
            <w:gridCol w:w="1740"/>
            <w:gridCol w:w="3765"/>
            <w:gridCol w:w="4485"/>
          </w:tblGrid>
        </w:tblGridChange>
      </w:tblGrid>
      <w:tr>
        <w:trPr>
          <w:trHeight w:val="2280" w:hRule="atLeast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76300" cy="819150"/>
                  <wp:effectExtent b="0" l="0" r="0" t="0"/>
                  <wp:docPr id="1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Central Idea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Our everyday choices affect our wellbeing.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Key Concepts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Responsibility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Causation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Related Concepts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Health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Routines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Choices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Consequences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Wellbeing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Lines of Inquiry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-1112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Choices we make everyday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-1112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Physical and mental wellbeing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ind w:left="0" w:right="-1112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Consequences of choices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Healthy , informed , food groups, vitamins, routine, daily, design, exercise, lifestyle, diet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UNIT OF INQUIRY 2</w:t>
      </w: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3765"/>
        <w:gridCol w:w="4515"/>
        <w:tblGridChange w:id="0">
          <w:tblGrid>
            <w:gridCol w:w="1740"/>
            <w:gridCol w:w="3765"/>
            <w:gridCol w:w="4515"/>
          </w:tblGrid>
        </w:tblGridChange>
      </w:tblGrid>
      <w:tr>
        <w:trPr>
          <w:trHeight w:val="1540" w:hRule="atLeast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876300" cy="819150"/>
                  <wp:effectExtent b="0" l="0" r="0" t="0"/>
                  <wp:docPr id="5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19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Central Idea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We have a responsibility towards sustaining our local environment</w:t>
            </w:r>
            <w:r w:rsidDel="00000000" w:rsidR="00000000" w:rsidRPr="00000000">
              <w:rPr>
                <w:rFonts w:ascii="Trebuchet MS" w:cs="Trebuchet MS" w:eastAsia="Trebuchet MS" w:hAnsi="Trebuchet MS"/>
                <w:color w:val="008000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Key Concepts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Responsibility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Connection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Related concepts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Interdependence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Environment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Sustainability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Lines of Inquiry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Our local natural environment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Personal choices that help sustain the environment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Reduce, reuse, recycle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Key Vocabulary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reduce, reuse, recycle, materials, environmental, responsibility, practices, local, maintain, natural, habitats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LANGUAGE</w:t>
      </w:r>
      <w:r w:rsidDel="00000000" w:rsidR="00000000" w:rsidRPr="00000000">
        <w:rPr>
          <w:rtl w:val="0"/>
        </w:rPr>
      </w:r>
    </w:p>
    <w:tbl>
      <w:tblPr>
        <w:tblStyle w:val="Table3"/>
        <w:tblW w:w="10035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3705"/>
        <w:gridCol w:w="4590"/>
        <w:tblGridChange w:id="0">
          <w:tblGrid>
            <w:gridCol w:w="1740"/>
            <w:gridCol w:w="3705"/>
            <w:gridCol w:w="4590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933450" cy="838200"/>
                  <wp:effectExtent b="0" l="0" r="0" t="0"/>
                  <wp:docPr id="10" name="image19.gif"/>
                  <a:graphic>
                    <a:graphicData uri="http://schemas.openxmlformats.org/drawingml/2006/picture">
                      <pic:pic>
                        <pic:nvPicPr>
                          <pic:cNvPr id="0" name="image19.gif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38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Reading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Non-Fiction: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health books, advertisements, menus, brochures/leaflets during whole class and guided reading sessions. Identify features of nonfiction.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Fiction: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Exploring story structure using familiar texts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Order a familiar story using story language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Discussing characters within a story, able to create character profiles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Strategies: Predicting, Self-questioning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Phonics, Spelling and Vocabulary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Phonics: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Letters and Sounds phases 2 to 6 (as appropriate) - Year 2 focus on revision of phase 5 and teaching of phase 6 - reading and writing phase 5 and 6 sounds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Learning to read and spell high frequency words from phases 5 and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Writing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Non-Fiction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Poetry: Shape poems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sets of i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nstructions (sequencing using first, then, next, finally)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information leaflets about healthy lifestyles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Persuasive writing: Creating leaflets and posters to promote healthy lifestyles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Fiction: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Writing poetry to entertain - acrostic and rhyming poems linked to the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Grammar and punctuation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Consistently using capital letters and full stops in sentences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Understanding and using imperative verbs in instructional writing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Using question words and question marks in writing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Endings: -ed, -ing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Adjectives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Rhyming words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MATHS</w:t>
      </w: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2190"/>
        <w:gridCol w:w="6150"/>
        <w:tblGridChange w:id="0">
          <w:tblGrid>
            <w:gridCol w:w="1740"/>
            <w:gridCol w:w="2190"/>
            <w:gridCol w:w="6150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95350" cy="814388"/>
                  <wp:effectExtent b="0" l="0" r="0" t="0"/>
                  <wp:docPr id="8" name="image17.gif"/>
                  <a:graphic>
                    <a:graphicData uri="http://schemas.openxmlformats.org/drawingml/2006/picture">
                      <pic:pic>
                        <pic:nvPicPr>
                          <pic:cNvPr id="0" name="image17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143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Stand alone Maths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Number: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Place Value: Model numbers to hundreds or beyond using the base 10 place value system.Estimate quantities to 100 or beyond. Count in steps of 2, 3 and 5 from 0, and in tens from any number, forward and backward.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Addition and Subtraction: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 and subtract numbers using concrete objects, pictorial representations and mentally, including: a two-digit number and ones, a two-digit number and tens. Develop strategies for memorising addition and subtraction number facts.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Integrated Maths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 and Space: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Symmetry: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Understand that there are relationships among and between 2D and 3D shapes.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Tessellation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: Understand that 2D and 3D shapes can be created by putting together and/or taking apart other shapes.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examples of symmetry and transformations can be found in their immediate environment.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Measurement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Money: Find different combinations of coins that equal the same amounts of money.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Time: Compare and sequence intervals of time.Know the number of minutes in an hour and the number of hours in a day.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Estimating and measuring: Estimate and measure objects using standard units of measurement: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handling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14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Concept of chance in daily lives: Understand the concept of chance in daily events (impossible, less likely, maybe, most likely, certain).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Shape and Space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Directions: Understand that directions can be used to describe pathways, regions, positions and boundaries of their immediate environment.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Data handling: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Understand that information about themselves and their surroundings can be collected and recorded in pictograms, tally charts.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ICT</w:t>
      </w: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6285"/>
        <w:gridCol w:w="2055"/>
        <w:tblGridChange w:id="0">
          <w:tblGrid>
            <w:gridCol w:w="1740"/>
            <w:gridCol w:w="6285"/>
            <w:gridCol w:w="2055"/>
          </w:tblGrid>
        </w:tblGridChange>
      </w:tblGrid>
      <w:tr>
        <w:trPr>
          <w:trHeight w:val="2460" w:hRule="atLeast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22614" cy="723900"/>
                  <wp:effectExtent b="0" l="0" r="0" t="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614" cy="723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Integrated ICT: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left="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Investigating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Use the internet to answer a question.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Organising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Create  files and save them with a meaningful title (e.g. files in Pages)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Collaborating: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Share iPads to research/use app and take turns on IWB to play games or use website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Investigating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Talk about the usefulness of information/datA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Creating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Create a document with text and images.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Organising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Find saved files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Stand Alone ICT: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A responsible digital citizen: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Use IT equipment responsibly and assist others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right="140" w:firstLine="0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Keep passwords private and not use anyone else’s password.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ART</w:t>
      </w:r>
      <w:r w:rsidDel="00000000" w:rsidR="00000000" w:rsidRPr="00000000">
        <w:rPr>
          <w:rtl w:val="0"/>
        </w:rPr>
      </w:r>
    </w:p>
    <w:tbl>
      <w:tblPr>
        <w:tblStyle w:val="Table6"/>
        <w:tblW w:w="10035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4800"/>
        <w:gridCol w:w="3495"/>
        <w:tblGridChange w:id="0">
          <w:tblGrid>
            <w:gridCol w:w="1740"/>
            <w:gridCol w:w="4800"/>
            <w:gridCol w:w="3495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671513" cy="671513"/>
                  <wp:effectExtent b="0" l="0" r="0" t="0"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1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Drawing and sketching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Concentrating on observational drawing.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Fruits and vegetables.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Detailed observation looking at shape, outline, patterns and structure.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How to draw what you see? Looking at the artist: Cezanne</w:t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Printing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Technique and skills of printing an image.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Using recycled materials to create a piece of art.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Printing using polystyrene, string, junk materials.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FRENCH</w:t>
      </w:r>
    </w:p>
    <w:tbl>
      <w:tblPr>
        <w:tblStyle w:val="Table7"/>
        <w:tblW w:w="9975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4665"/>
        <w:gridCol w:w="3570"/>
        <w:tblGridChange w:id="0">
          <w:tblGrid>
            <w:gridCol w:w="1740"/>
            <w:gridCol w:w="4665"/>
            <w:gridCol w:w="3570"/>
          </w:tblGrid>
        </w:tblGridChange>
      </w:tblGrid>
      <w:tr>
        <w:trPr>
          <w:trHeight w:val="1620" w:hRule="atLeast"/>
        </w:trP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716056" cy="676275"/>
                  <wp:effectExtent b="0" l="0" r="0" t="0"/>
                  <wp:docPr id="2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056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Greetings - Ask and respond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Bonjour, Salut, Ca va.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Introduce Family and friends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Verbs for movement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Counting to 20 and beyond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Make own spoon puppets - give French names - role play.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Nouns for foods and drink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Expressing likes and dislikes about food.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J’aime/je n’aime pas….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List food and drink sain/pas sain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Colours - ‘Le citron n’est pas rouge’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Writing colour phrases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Games and Christmas Songs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MUSIC</w:t>
      </w:r>
    </w:p>
    <w:tbl>
      <w:tblPr>
        <w:tblStyle w:val="Table8"/>
        <w:tblW w:w="9990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3945"/>
        <w:gridCol w:w="4305"/>
        <w:tblGridChange w:id="0">
          <w:tblGrid>
            <w:gridCol w:w="1740"/>
            <w:gridCol w:w="3945"/>
            <w:gridCol w:w="4305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</w:rPr>
              <w:drawing>
                <wp:inline distB="114300" distT="114300" distL="114300" distR="114300">
                  <wp:extent cx="1084533" cy="661988"/>
                  <wp:effectExtent b="0" l="0" r="0" t="0"/>
                  <wp:docPr id="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533" cy="661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Integrated Music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T1A: Music classroom routines: how should we use the music classroom as a shared space during or out of music lessons?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Developing habits and attitudes towards the proper use of instruments, safe use of electrical instruments and amps; the use of headphones for non-music class purposes.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T1B: Sing recycle songs. Attempt to create a recycle song using the worlds from the unit’s vocabulary.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u w:val="single"/>
                <w:rtl w:val="0"/>
              </w:rPr>
              <w:t xml:space="preserve">Stand alone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Singing: songs from Red riding Hood series:  contrasting jumpy, fast rhythms of the words in the verses with words with with slower rhythms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Instruments: revising rhythm skills: tempo, beat, keeping in time and long/short.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First steps in ocarina: play 2-3 notes with various lengths: eighth, quarter and half notes, as well as half rests.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Preparations for the Winter Show.</w:t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PE</w:t>
      </w:r>
      <w:r w:rsidDel="00000000" w:rsidR="00000000" w:rsidRPr="00000000">
        <w:rPr>
          <w:rtl w:val="0"/>
        </w:rPr>
      </w:r>
    </w:p>
    <w:tbl>
      <w:tblPr>
        <w:tblStyle w:val="Table9"/>
        <w:tblW w:w="9975.0" w:type="dxa"/>
        <w:jc w:val="left"/>
        <w:tblInd w:w="28.34645669291339" w:type="pct"/>
        <w:tblBorders>
          <w:top w:color="1c4587" w:space="0" w:sz="12" w:val="single"/>
          <w:left w:color="1c4587" w:space="0" w:sz="12" w:val="single"/>
          <w:bottom w:color="1c4587" w:space="0" w:sz="12" w:val="single"/>
          <w:right w:color="1c4587" w:space="0" w:sz="12" w:val="single"/>
          <w:insideH w:color="1c4587" w:space="0" w:sz="12" w:val="single"/>
          <w:insideV w:color="1c4587" w:space="0" w:sz="12" w:val="single"/>
        </w:tblBorders>
        <w:tblLayout w:type="fixed"/>
        <w:tblLook w:val="0600"/>
      </w:tblPr>
      <w:tblGrid>
        <w:gridCol w:w="1740"/>
        <w:gridCol w:w="3630"/>
        <w:gridCol w:w="4605"/>
        <w:tblGridChange w:id="0">
          <w:tblGrid>
            <w:gridCol w:w="1740"/>
            <w:gridCol w:w="3630"/>
            <w:gridCol w:w="4605"/>
          </w:tblGrid>
        </w:tblGridChange>
      </w:tblGrid>
      <w:tr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67886" cy="676275"/>
                  <wp:effectExtent b="0" l="0" r="0" t="0"/>
                  <wp:docPr id="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886" cy="676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Movement Composition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Students will continue to develop throwing, catching, bouncing and kicking skills. They will begin to apply these sport-specific skills to modified games of basketball, football and netball. Learning to work as part of a team will be an important aspect in Year 2 PE.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8"/>
                <w:szCs w:val="18"/>
                <w:rtl w:val="0"/>
              </w:rPr>
              <w:t xml:space="preserve">Health- Related Fitness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Trebuchet MS" w:cs="Trebuchet MS" w:eastAsia="Trebuchet MS" w:hAnsi="Trebuchet MS"/>
                <w:sz w:val="18"/>
                <w:szCs w:val="1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rtl w:val="0"/>
              </w:rPr>
              <w:t xml:space="preserve">Students will participate in a range of running and relay activities to develop their speed, endurance and agility. Through these activities, they will continue to develop a better understanding of how our body changes during exercise. Students will participate in circuit training, with a focus on learning to work independently in PE.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.0000000000002" w:top="1440.0000000000002" w:left="1440.0000000000002" w:right="118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rFonts w:ascii="Trebuchet MS" w:cs="Trebuchet MS" w:eastAsia="Trebuchet MS" w:hAnsi="Trebuchet MS"/>
        <w:b w:val="1"/>
        <w:sz w:val="28"/>
        <w:szCs w:val="28"/>
      </w:rPr>
    </w:pPr>
    <w:r w:rsidDel="00000000" w:rsidR="00000000" w:rsidRPr="00000000">
      <w:rPr>
        <w:rtl w:val="0"/>
      </w:rPr>
    </w:r>
  </w:p>
  <w:tbl>
    <w:tblPr>
      <w:tblStyle w:val="Table10"/>
      <w:tblW w:w="9600.0" w:type="dxa"/>
      <w:jc w:val="left"/>
      <w:tblInd w:w="100.0" w:type="pct"/>
      <w:tblLayout w:type="fixed"/>
      <w:tblLook w:val="0600"/>
    </w:tblPr>
    <w:tblGrid>
      <w:gridCol w:w="7800"/>
      <w:gridCol w:w="1800"/>
      <w:tblGridChange w:id="0">
        <w:tblGrid>
          <w:gridCol w:w="7800"/>
          <w:gridCol w:w="1800"/>
        </w:tblGrid>
      </w:tblGridChange>
    </w:tblGrid>
    <w:tr>
      <w:trPr>
        <w:trHeight w:val="124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contextualSpacing w:val="0"/>
            <w:jc w:val="right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YEAR 2 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CURRICULUM OVERVIEW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 Term 1 2017-18 </w:t>
          </w:r>
        </w:p>
      </w:tc>
      <w:tc>
        <w:tcPr>
          <w:shd w:fill="auto" w:val="clear"/>
          <w:tcMar>
            <w:top w:w="17.007874015748033" w:type="dxa"/>
            <w:left w:w="17.007874015748033" w:type="dxa"/>
            <w:bottom w:w="17.007874015748033" w:type="dxa"/>
            <w:right w:w="17.007874015748033" w:type="dxa"/>
          </w:tcMar>
          <w:vAlign w:val="center"/>
        </w:tcPr>
        <w:p w:rsidR="00000000" w:rsidDel="00000000" w:rsidP="00000000" w:rsidRDefault="00000000" w:rsidRPr="000000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contextualSpacing w:val="0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</w:rPr>
            <w:drawing>
              <wp:inline distB="114300" distT="114300" distL="114300" distR="114300">
                <wp:extent cx="733425" cy="733425"/>
                <wp:effectExtent b="0" l="0" r="0" t="0"/>
                <wp:docPr id="7" name="image16.jpg"/>
                <a:graphic>
                  <a:graphicData uri="http://schemas.openxmlformats.org/drawingml/2006/picture">
                    <pic:pic>
                      <pic:nvPicPr>
                        <pic:cNvPr id="0" name="image16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jpg"/><Relationship Id="rId10" Type="http://schemas.openxmlformats.org/officeDocument/2006/relationships/image" Target="media/image12.png"/><Relationship Id="rId13" Type="http://schemas.openxmlformats.org/officeDocument/2006/relationships/image" Target="media/image15.png"/><Relationship Id="rId12" Type="http://schemas.openxmlformats.org/officeDocument/2006/relationships/image" Target="media/image1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18.jpg"/><Relationship Id="rId14" Type="http://schemas.openxmlformats.org/officeDocument/2006/relationships/header" Target="header1.xml"/><Relationship Id="rId5" Type="http://schemas.openxmlformats.org/officeDocument/2006/relationships/image" Target="media/image8.png"/><Relationship Id="rId6" Type="http://schemas.openxmlformats.org/officeDocument/2006/relationships/image" Target="media/image13.png"/><Relationship Id="rId7" Type="http://schemas.openxmlformats.org/officeDocument/2006/relationships/image" Target="media/image19.gif"/><Relationship Id="rId8" Type="http://schemas.openxmlformats.org/officeDocument/2006/relationships/image" Target="media/image17.gi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6.jpg"/></Relationships>
</file>