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UNIT OF INQUIRY 1</w:t>
      </w:r>
    </w:p>
    <w:tbl>
      <w:tblPr>
        <w:tblStyle w:val="Table1"/>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765"/>
        <w:gridCol w:w="4125"/>
        <w:tblGridChange w:id="0">
          <w:tblGrid>
            <w:gridCol w:w="1740"/>
            <w:gridCol w:w="3765"/>
            <w:gridCol w:w="4125"/>
          </w:tblGrid>
        </w:tblGridChange>
      </w:tblGrid>
      <w:tr>
        <w:trPr>
          <w:trHeight w:val="154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876300" cy="819150"/>
                  <wp:effectExtent b="0" l="0" r="0" t="0"/>
                  <wp:docPr id="1"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u w:val="single"/>
                <w:rtl w:val="0"/>
              </w:rPr>
              <w:t xml:space="preserve">Central Idea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Respecting other people’s perspectives can help us to live better together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Key Concepts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Perspective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Reflection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Related concepts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Conflict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Communication</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u w:val="single"/>
                <w:rtl w:val="0"/>
              </w:rPr>
              <w:t xml:space="preserve">Lines of Inquiry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What shapes our perspective towards others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Communication between ourselves and others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Ways to solve conflict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u w:val="single"/>
                <w:rtl w:val="0"/>
              </w:rPr>
              <w:t xml:space="preserve">Key Vocabulary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perspective, resolve, conflict, opinion, respect choices, open minded, offend, appreciate, culture, religion</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UNIT OF INQUIRY 2</w:t>
      </w:r>
    </w:p>
    <w:tbl>
      <w:tblPr>
        <w:tblStyle w:val="Table2"/>
        <w:tblW w:w="962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760"/>
        <w:gridCol w:w="4120"/>
        <w:tblGridChange w:id="0">
          <w:tblGrid>
            <w:gridCol w:w="1740"/>
            <w:gridCol w:w="3760"/>
            <w:gridCol w:w="4120"/>
          </w:tblGrid>
        </w:tblGridChange>
      </w:tblGrid>
      <w:tr>
        <w:trPr>
          <w:trHeight w:val="154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876300" cy="819150"/>
                  <wp:effectExtent b="0" l="0" r="0" t="0"/>
                  <wp:docPr id="4"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b w:val="1"/>
                <w:sz w:val="18"/>
                <w:szCs w:val="18"/>
                <w:u w:val="single"/>
                <w:rtl w:val="0"/>
              </w:rPr>
              <w:t xml:space="preserve">Central Idea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Images communicate ideas and information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Concepts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Function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Perspective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Related concepts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Creativity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Imagery</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Lines of Inquiry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of static images in different media</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How design elements of media support  communication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How we interpret and respond to images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u w:val="single"/>
                <w:rtl w:val="0"/>
              </w:rPr>
              <w:t xml:space="preserve">Key Vocabulary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image, communicate, idea, information, design, media, interpret</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LANGUAGE</w:t>
      </w:r>
    </w:p>
    <w:tbl>
      <w:tblPr>
        <w:tblStyle w:val="Table3"/>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585"/>
        <w:gridCol w:w="4305"/>
        <w:tblGridChange w:id="0">
          <w:tblGrid>
            <w:gridCol w:w="1740"/>
            <w:gridCol w:w="3585"/>
            <w:gridCol w:w="430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933450" cy="838200"/>
                  <wp:effectExtent b="0" l="0" r="0" t="0"/>
                  <wp:docPr id="9" name="image18.gif"/>
                  <a:graphic>
                    <a:graphicData uri="http://schemas.openxmlformats.org/drawingml/2006/picture">
                      <pic:pic>
                        <pic:nvPicPr>
                          <pic:cNvPr id="0" name="image18.gif"/>
                          <pic:cNvPicPr preferRelativeResize="0"/>
                        </pic:nvPicPr>
                        <pic:blipFill>
                          <a:blip r:embed="rId7"/>
                          <a:srcRect b="0" l="0" r="0" t="0"/>
                          <a:stretch>
                            <a:fillRect/>
                          </a:stretch>
                        </pic:blipFill>
                        <pic:spPr>
                          <a:xfrm>
                            <a:off x="0" y="0"/>
                            <a:ext cx="933450" cy="8382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18"/>
                <w:szCs w:val="18"/>
              </w:rPr>
            </w:pPr>
            <w:r w:rsidDel="00000000" w:rsidR="00000000" w:rsidRPr="00000000">
              <w:rPr>
                <w:b w:val="1"/>
                <w:sz w:val="18"/>
                <w:szCs w:val="18"/>
                <w:u w:val="single"/>
                <w:rtl w:val="0"/>
              </w:rPr>
              <w:t xml:space="preserve">Reading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i w:val="0"/>
                <w:color w:val="000000"/>
                <w:sz w:val="18"/>
                <w:szCs w:val="18"/>
              </w:rPr>
            </w:pPr>
            <w:r w:rsidDel="00000000" w:rsidR="00000000" w:rsidRPr="00000000">
              <w:rPr>
                <w:b w:val="1"/>
                <w:i w:val="0"/>
                <w:color w:val="000000"/>
                <w:sz w:val="18"/>
                <w:szCs w:val="18"/>
                <w:rtl w:val="0"/>
              </w:rPr>
              <w:t xml:space="preserve">Fiction: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Familiar stories and how they can be changed by looking at different perspectives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u w:val="single"/>
              </w:rPr>
            </w:pPr>
            <w:r w:rsidDel="00000000" w:rsidR="00000000" w:rsidRPr="00000000">
              <w:rPr>
                <w:sz w:val="18"/>
                <w:szCs w:val="18"/>
                <w:rtl w:val="0"/>
              </w:rPr>
              <w:t xml:space="preserve">A variety of poetry including shape and calligrams</w:t>
            </w:r>
            <w:r w:rsidDel="00000000" w:rsidR="00000000" w:rsidRPr="00000000">
              <w:rPr>
                <w:sz w:val="18"/>
                <w:szCs w:val="18"/>
                <w:u w:val="singl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b w:val="1"/>
                <w:sz w:val="18"/>
                <w:szCs w:val="18"/>
                <w:rtl w:val="0"/>
              </w:rPr>
              <w:t xml:space="preserve">Non-fiction: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Information books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Newspaper articles containing familiar events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Picture books - looking at different perspectives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i w:val="1"/>
                <w:sz w:val="18"/>
                <w:szCs w:val="18"/>
              </w:rPr>
            </w:pPr>
            <w:r w:rsidDel="00000000" w:rsidR="00000000" w:rsidRPr="00000000">
              <w:rPr>
                <w:sz w:val="18"/>
                <w:szCs w:val="18"/>
                <w:rtl w:val="0"/>
              </w:rPr>
              <w:t xml:space="preserve">Recounts/ diary entries of familiar events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18"/>
                <w:szCs w:val="18"/>
                <w:u w:val="single"/>
              </w:rPr>
            </w:pPr>
            <w:r w:rsidDel="00000000" w:rsidR="00000000" w:rsidRPr="00000000">
              <w:rPr>
                <w:b w:val="1"/>
                <w:sz w:val="18"/>
                <w:szCs w:val="18"/>
                <w:u w:val="single"/>
                <w:rtl w:val="0"/>
              </w:rPr>
              <w:t xml:space="preserve">Writing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b w:val="1"/>
                <w:sz w:val="18"/>
                <w:szCs w:val="18"/>
              </w:rPr>
            </w:pPr>
            <w:r w:rsidDel="00000000" w:rsidR="00000000" w:rsidRPr="00000000">
              <w:rPr>
                <w:b w:val="1"/>
                <w:sz w:val="18"/>
                <w:szCs w:val="18"/>
                <w:rtl w:val="0"/>
              </w:rPr>
              <w:t xml:space="preserve">Text Type: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i w:val="1"/>
                <w:sz w:val="18"/>
                <w:szCs w:val="18"/>
                <w:rtl w:val="0"/>
              </w:rPr>
              <w:t xml:space="preserve">To Entertain</w:t>
            </w:r>
            <w:r w:rsidDel="00000000" w:rsidR="00000000" w:rsidRPr="00000000">
              <w:rPr>
                <w:sz w:val="18"/>
                <w:szCs w:val="18"/>
                <w:rtl w:val="0"/>
              </w:rPr>
              <w:t xml:space="preserve">: Narrative- stories with issues or dilemmas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i w:val="1"/>
                <w:sz w:val="18"/>
                <w:szCs w:val="18"/>
              </w:rPr>
            </w:pPr>
            <w:r w:rsidDel="00000000" w:rsidR="00000000" w:rsidRPr="00000000">
              <w:rPr>
                <w:i w:val="1"/>
                <w:sz w:val="18"/>
                <w:szCs w:val="18"/>
                <w:rtl w:val="0"/>
              </w:rPr>
              <w:t xml:space="preserve">To Recount: Newspaper articles containing familiar events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i w:val="1"/>
                <w:sz w:val="18"/>
                <w:szCs w:val="18"/>
                <w:rtl w:val="0"/>
              </w:rPr>
              <w:t xml:space="preserve">To Entertain: </w:t>
            </w:r>
            <w:r w:rsidDel="00000000" w:rsidR="00000000" w:rsidRPr="00000000">
              <w:rPr>
                <w:sz w:val="18"/>
                <w:szCs w:val="18"/>
                <w:rtl w:val="0"/>
              </w:rPr>
              <w:t xml:space="preserve">Poetry- shape poems and calligrams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i w:val="1"/>
                <w:sz w:val="18"/>
                <w:szCs w:val="18"/>
                <w:rtl w:val="0"/>
              </w:rPr>
              <w:t xml:space="preserve">To Recount</w:t>
            </w:r>
            <w:r w:rsidDel="00000000" w:rsidR="00000000" w:rsidRPr="00000000">
              <w:rPr>
                <w:sz w:val="18"/>
                <w:szCs w:val="18"/>
                <w:rtl w:val="0"/>
              </w:rPr>
              <w:t xml:space="preserve">: Diary entries about trips/walks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18"/>
                <w:szCs w:val="18"/>
                <w:u w:val="single"/>
              </w:rPr>
            </w:pPr>
            <w:r w:rsidDel="00000000" w:rsidR="00000000" w:rsidRPr="00000000">
              <w:rPr>
                <w:b w:val="1"/>
                <w:sz w:val="18"/>
                <w:szCs w:val="18"/>
                <w:u w:val="single"/>
                <w:rtl w:val="0"/>
              </w:rPr>
              <w:t xml:space="preserve">Phonics, Spelling and Vocabulary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b w:val="1"/>
                <w:i w:val="1"/>
                <w:sz w:val="18"/>
                <w:szCs w:val="18"/>
              </w:rPr>
            </w:pPr>
            <w:r w:rsidDel="00000000" w:rsidR="00000000" w:rsidRPr="00000000">
              <w:rPr>
                <w:b w:val="1"/>
                <w:i w:val="1"/>
                <w:sz w:val="18"/>
                <w:szCs w:val="18"/>
                <w:rtl w:val="0"/>
              </w:rPr>
              <w:t xml:space="preserve">(Continue with different Letters and Sounds revision as long as needed)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Thesaurus/synonyms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Long vowel phonemes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Syllables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Independent spelling strategies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Collect new words and log them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How the spellings of verbs alter when -ing is added;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To infer the meaning of unknown words from context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Spelling patterns: ‘i’ sound spelt with a ‘y’ e.g. myth, gym.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‘u’ sound spelt as ‘ou’ e.g. young, touch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‘k’ sound spelt as ‘ch’ e.g. echo, stomach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sz w:val="18"/>
                <w:szCs w:val="18"/>
              </w:rPr>
            </w:pPr>
            <w:r w:rsidDel="00000000" w:rsidR="00000000" w:rsidRPr="00000000">
              <w:rPr>
                <w:sz w:val="18"/>
                <w:szCs w:val="18"/>
                <w:rtl w:val="0"/>
              </w:rPr>
              <w:t xml:space="preserve">‘sh’ sound spelt as ‘ch’ e.g. chef, machine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18"/>
                <w:szCs w:val="18"/>
                <w:u w:val="single"/>
              </w:rPr>
            </w:pPr>
            <w:r w:rsidDel="00000000" w:rsidR="00000000" w:rsidRPr="00000000">
              <w:rPr>
                <w:b w:val="1"/>
                <w:sz w:val="18"/>
                <w:szCs w:val="18"/>
                <w:u w:val="single"/>
                <w:rtl w:val="0"/>
              </w:rPr>
              <w:t xml:space="preserve">Grammar and punctuation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sz w:val="18"/>
                <w:szCs w:val="18"/>
              </w:rPr>
            </w:pPr>
            <w:r w:rsidDel="00000000" w:rsidR="00000000" w:rsidRPr="00000000">
              <w:rPr>
                <w:sz w:val="18"/>
                <w:szCs w:val="18"/>
                <w:rtl w:val="0"/>
              </w:rPr>
              <w:t xml:space="preserve">Using capital letters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sz w:val="18"/>
                <w:szCs w:val="18"/>
              </w:rPr>
            </w:pPr>
            <w:r w:rsidDel="00000000" w:rsidR="00000000" w:rsidRPr="00000000">
              <w:rPr>
                <w:sz w:val="18"/>
                <w:szCs w:val="18"/>
                <w:rtl w:val="0"/>
              </w:rPr>
              <w:t xml:space="preserve">Sentence construction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sz w:val="18"/>
                <w:szCs w:val="18"/>
              </w:rPr>
            </w:pPr>
            <w:r w:rsidDel="00000000" w:rsidR="00000000" w:rsidRPr="00000000">
              <w:rPr>
                <w:sz w:val="18"/>
                <w:szCs w:val="18"/>
                <w:rtl w:val="0"/>
              </w:rPr>
              <w:t xml:space="preserve">Verbs and adjectives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sz w:val="18"/>
                <w:szCs w:val="18"/>
              </w:rPr>
            </w:pPr>
            <w:r w:rsidDel="00000000" w:rsidR="00000000" w:rsidRPr="00000000">
              <w:rPr>
                <w:sz w:val="18"/>
                <w:szCs w:val="18"/>
                <w:rtl w:val="0"/>
              </w:rPr>
              <w:t xml:space="preserve">Use past tense consistently for narration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sz w:val="18"/>
                <w:szCs w:val="18"/>
              </w:rPr>
            </w:pPr>
            <w:r w:rsidDel="00000000" w:rsidR="00000000" w:rsidRPr="00000000">
              <w:rPr>
                <w:i w:val="0"/>
                <w:color w:val="000000"/>
                <w:sz w:val="18"/>
                <w:szCs w:val="18"/>
                <w:rtl w:val="0"/>
              </w:rPr>
              <w:t xml:space="preserve">Compound sentences with con</w:t>
            </w:r>
            <w:r w:rsidDel="00000000" w:rsidR="00000000" w:rsidRPr="00000000">
              <w:rPr>
                <w:sz w:val="18"/>
                <w:szCs w:val="18"/>
                <w:rtl w:val="0"/>
              </w:rPr>
              <w:t xml:space="preserve">junctions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u w:val="single"/>
              </w:rPr>
            </w:pPr>
            <w:r w:rsidDel="00000000" w:rsidR="00000000" w:rsidRPr="00000000">
              <w:rPr>
                <w:sz w:val="18"/>
                <w:szCs w:val="18"/>
                <w:rtl w:val="0"/>
              </w:rPr>
              <w:t xml:space="preserve">Commas to separate items in a list.</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MATHS</w:t>
      </w:r>
    </w:p>
    <w:tbl>
      <w:tblPr>
        <w:tblStyle w:val="Table4"/>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5625"/>
        <w:gridCol w:w="2265"/>
        <w:tblGridChange w:id="0">
          <w:tblGrid>
            <w:gridCol w:w="1740"/>
            <w:gridCol w:w="5625"/>
            <w:gridCol w:w="226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895350" cy="814388"/>
                  <wp:effectExtent b="0" l="0" r="0" t="0"/>
                  <wp:docPr id="7" name="image16.gif"/>
                  <a:graphic>
                    <a:graphicData uri="http://schemas.openxmlformats.org/drawingml/2006/picture">
                      <pic:pic>
                        <pic:nvPicPr>
                          <pic:cNvPr id="0" name="image16.gif"/>
                          <pic:cNvPicPr preferRelativeResize="0"/>
                        </pic:nvPicPr>
                        <pic:blipFill>
                          <a:blip r:embed="rId8"/>
                          <a:srcRect b="0" l="0" r="0" t="0"/>
                          <a:stretch>
                            <a:fillRect/>
                          </a:stretch>
                        </pic:blipFill>
                        <pic:spPr>
                          <a:xfrm>
                            <a:off x="0" y="0"/>
                            <a:ext cx="895350" cy="814388"/>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Stand alone Maths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Place Value: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Read, write and order whole numbers to at least 1000 and position them on a number 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Count on from and back to zero in single-digit steps or multiples of 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Partition three-digit numbers into multiples of 100, 10 and 1 in different ways.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Round two-digit or three-digit numbers to the nearest 10 or 100 and give estimates for their sums and differences.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Investigating properties of number by halving and doubling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Addition and Subtraction: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Add or subtract mentally combinations of one-digit and two-digit numbers.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Develop and use written methods to record, support or explain addition and subtraction of two-digit and three-digit numbers.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sz w:val="18"/>
                <w:szCs w:val="18"/>
                <w:rtl w:val="0"/>
              </w:rPr>
              <w:t xml:space="preserve">- Derive and recall all addition and subtraction facts for each number to 20, sums and differences of multiples of 10 and number pairs that total 100.</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Integrated Maths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Data Handling: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Tally chart and bar graphs related to people's perspectives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Carroll and Venn diagrams to sort people’s responses to class surveys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Shape: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sz w:val="18"/>
                <w:szCs w:val="18"/>
                <w:rtl w:val="0"/>
              </w:rPr>
              <w:t xml:space="preserve">- Classify and describe 2D shapes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sz w:val="18"/>
                <w:szCs w:val="18"/>
                <w:rtl w:val="0"/>
              </w:rPr>
              <w:t xml:space="preserve">Identify and sketch lines of symmetry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introduce fractions of shapes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Right angles: Looking at 2D shapes that contain right angles</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sz w:val="24"/>
          <w:szCs w:val="24"/>
          <w:rtl w:val="0"/>
        </w:rPr>
        <w:t xml:space="preserve">ICT</w:t>
      </w:r>
      <w:r w:rsidDel="00000000" w:rsidR="00000000" w:rsidRPr="00000000">
        <w:rPr>
          <w:rtl w:val="0"/>
        </w:rPr>
      </w:r>
    </w:p>
    <w:tbl>
      <w:tblPr>
        <w:tblStyle w:val="Table5"/>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245"/>
        <w:gridCol w:w="3645"/>
        <w:tblGridChange w:id="0">
          <w:tblGrid>
            <w:gridCol w:w="1740"/>
            <w:gridCol w:w="4245"/>
            <w:gridCol w:w="3645"/>
          </w:tblGrid>
        </w:tblGridChange>
      </w:tblGrid>
      <w:tr>
        <w:trPr>
          <w:trHeight w:val="278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22614" cy="723900"/>
                  <wp:effectExtent b="0" l="0" r="0" t="0"/>
                  <wp:docPr id="2"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822614" cy="7239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Stand alone ICT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rPr>
                <w:sz w:val="18"/>
                <w:szCs w:val="18"/>
              </w:rPr>
            </w:pPr>
            <w:r w:rsidDel="00000000" w:rsidR="00000000" w:rsidRPr="00000000">
              <w:rPr>
                <w:rFonts w:ascii="Trebuchet MS" w:cs="Trebuchet MS" w:eastAsia="Trebuchet MS" w:hAnsi="Trebuchet MS"/>
                <w:b w:val="1"/>
                <w:sz w:val="18"/>
                <w:szCs w:val="18"/>
                <w:rtl w:val="0"/>
              </w:rPr>
              <w:t xml:space="preserve">Organising:</w:t>
            </w:r>
            <w:r w:rsidDel="00000000" w:rsidR="00000000" w:rsidRPr="00000000">
              <w:rPr>
                <w:rFonts w:ascii="Trebuchet MS" w:cs="Trebuchet MS" w:eastAsia="Trebuchet MS" w:hAnsi="Trebuchet MS"/>
                <w:sz w:val="18"/>
                <w:szCs w:val="18"/>
                <w:rtl w:val="0"/>
              </w:rPr>
              <w:t xml:space="preserve"> Use various methods to access an application.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an organised system of folders with a naming convention.</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Recognise functions of basic file menu commands.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rPr>
                <w:sz w:val="18"/>
                <w:szCs w:val="18"/>
              </w:rPr>
            </w:pPr>
            <w:r w:rsidDel="00000000" w:rsidR="00000000" w:rsidRPr="00000000">
              <w:rPr>
                <w:rFonts w:ascii="Trebuchet MS" w:cs="Trebuchet MS" w:eastAsia="Trebuchet MS" w:hAnsi="Trebuchet MS"/>
                <w:b w:val="1"/>
                <w:sz w:val="18"/>
                <w:szCs w:val="18"/>
                <w:rtl w:val="0"/>
              </w:rPr>
              <w:t xml:space="preserve">Organising: </w:t>
            </w:r>
            <w:r w:rsidDel="00000000" w:rsidR="00000000" w:rsidRPr="00000000">
              <w:rPr>
                <w:rFonts w:ascii="Trebuchet MS" w:cs="Trebuchet MS" w:eastAsia="Trebuchet MS" w:hAnsi="Trebuchet MS"/>
                <w:sz w:val="18"/>
                <w:szCs w:val="18"/>
                <w:rtl w:val="0"/>
              </w:rPr>
              <w:t xml:space="preserve">Identify and compare the different components of different ICT systems.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rPr>
                <w:sz w:val="18"/>
                <w:szCs w:val="18"/>
              </w:rPr>
            </w:pPr>
            <w:r w:rsidDel="00000000" w:rsidR="00000000" w:rsidRPr="00000000">
              <w:rPr>
                <w:rFonts w:ascii="Trebuchet MS" w:cs="Trebuchet MS" w:eastAsia="Trebuchet MS" w:hAnsi="Trebuchet MS"/>
                <w:b w:val="1"/>
                <w:sz w:val="18"/>
                <w:szCs w:val="18"/>
                <w:rtl w:val="0"/>
              </w:rPr>
              <w:t xml:space="preserve">Becoming a responsible digital citizen: </w:t>
            </w:r>
            <w:r w:rsidDel="00000000" w:rsidR="00000000" w:rsidRPr="00000000">
              <w:rPr>
                <w:rFonts w:ascii="Trebuchet MS" w:cs="Trebuchet MS" w:eastAsia="Trebuchet MS" w:hAnsi="Trebuchet MS"/>
                <w:sz w:val="18"/>
                <w:szCs w:val="18"/>
                <w:rtl w:val="0"/>
              </w:rPr>
              <w:t xml:space="preserve">Follow and understand the DSL acceptable Use Policy</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Integrated ICT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sz w:val="18"/>
                <w:szCs w:val="18"/>
              </w:rPr>
            </w:pPr>
            <w:r w:rsidDel="00000000" w:rsidR="00000000" w:rsidRPr="00000000">
              <w:rPr>
                <w:rFonts w:ascii="Trebuchet MS" w:cs="Trebuchet MS" w:eastAsia="Trebuchet MS" w:hAnsi="Trebuchet MS"/>
                <w:b w:val="1"/>
                <w:sz w:val="18"/>
                <w:szCs w:val="18"/>
                <w:rtl w:val="0"/>
              </w:rPr>
              <w:t xml:space="preserve">Investigating:</w:t>
            </w:r>
            <w:r w:rsidDel="00000000" w:rsidR="00000000" w:rsidRPr="00000000">
              <w:rPr>
                <w:rFonts w:ascii="Trebuchet MS" w:cs="Trebuchet MS" w:eastAsia="Trebuchet MS" w:hAnsi="Trebuchet MS"/>
                <w:sz w:val="18"/>
                <w:szCs w:val="18"/>
                <w:rtl w:val="0"/>
              </w:rPr>
              <w:t xml:space="preserve"> Use multimedia tools to record a video interview.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sz w:val="18"/>
                <w:szCs w:val="18"/>
              </w:rPr>
            </w:pPr>
            <w:r w:rsidDel="00000000" w:rsidR="00000000" w:rsidRPr="00000000">
              <w:rPr>
                <w:rFonts w:ascii="Trebuchet MS" w:cs="Trebuchet MS" w:eastAsia="Trebuchet MS" w:hAnsi="Trebuchet MS"/>
                <w:b w:val="1"/>
                <w:sz w:val="18"/>
                <w:szCs w:val="18"/>
                <w:rtl w:val="0"/>
              </w:rPr>
              <w:t xml:space="preserve">Communicating:</w:t>
            </w:r>
            <w:r w:rsidDel="00000000" w:rsidR="00000000" w:rsidRPr="00000000">
              <w:rPr>
                <w:rFonts w:ascii="Trebuchet MS" w:cs="Trebuchet MS" w:eastAsia="Trebuchet MS" w:hAnsi="Trebuchet MS"/>
                <w:sz w:val="18"/>
                <w:szCs w:val="18"/>
                <w:rtl w:val="0"/>
              </w:rPr>
              <w:t xml:space="preserve"> Use a multimedia tool (eg Ipads)  to give a presentation to a target audience.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contextualSpacing w:val="1"/>
              <w:rPr>
                <w:sz w:val="18"/>
                <w:szCs w:val="18"/>
              </w:rPr>
            </w:pPr>
            <w:r w:rsidDel="00000000" w:rsidR="00000000" w:rsidRPr="00000000">
              <w:rPr>
                <w:rFonts w:ascii="Trebuchet MS" w:cs="Trebuchet MS" w:eastAsia="Trebuchet MS" w:hAnsi="Trebuchet MS"/>
                <w:b w:val="1"/>
                <w:sz w:val="18"/>
                <w:szCs w:val="18"/>
                <w:rtl w:val="0"/>
              </w:rPr>
              <w:t xml:space="preserve">Organising:</w:t>
            </w:r>
            <w:r w:rsidDel="00000000" w:rsidR="00000000" w:rsidRPr="00000000">
              <w:rPr>
                <w:rFonts w:ascii="Trebuchet MS" w:cs="Trebuchet MS" w:eastAsia="Trebuchet MS" w:hAnsi="Trebuchet MS"/>
                <w:sz w:val="18"/>
                <w:szCs w:val="18"/>
                <w:rtl w:val="0"/>
              </w:rPr>
              <w:t xml:space="preserve"> Use audio and video files with equipment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right="140" w:hanging="360"/>
              <w:rPr>
                <w:sz w:val="18"/>
                <w:szCs w:val="18"/>
              </w:rPr>
            </w:pPr>
            <w:r w:rsidDel="00000000" w:rsidR="00000000" w:rsidRPr="00000000">
              <w:rPr>
                <w:rFonts w:ascii="Trebuchet MS" w:cs="Trebuchet MS" w:eastAsia="Trebuchet MS" w:hAnsi="Trebuchet MS"/>
                <w:b w:val="1"/>
                <w:sz w:val="18"/>
                <w:szCs w:val="18"/>
                <w:rtl w:val="0"/>
              </w:rPr>
              <w:t xml:space="preserve">Creating:</w:t>
            </w:r>
            <w:r w:rsidDel="00000000" w:rsidR="00000000" w:rsidRPr="00000000">
              <w:rPr>
                <w:rFonts w:ascii="Trebuchet MS" w:cs="Trebuchet MS" w:eastAsia="Trebuchet MS" w:hAnsi="Trebuchet MS"/>
                <w:sz w:val="18"/>
                <w:szCs w:val="18"/>
                <w:rtl w:val="0"/>
              </w:rPr>
              <w:t xml:space="preserve"> Create a Google document and demonstrate word processing skills and insert an image. </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w:t>
      </w:r>
    </w:p>
    <w:tbl>
      <w:tblPr>
        <w:tblStyle w:val="Table6"/>
        <w:tblW w:w="962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760"/>
        <w:gridCol w:w="4120"/>
        <w:tblGridChange w:id="0">
          <w:tblGrid>
            <w:gridCol w:w="1740"/>
            <w:gridCol w:w="3760"/>
            <w:gridCol w:w="412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sz w:val="18"/>
                <w:szCs w:val="18"/>
              </w:rPr>
              <w:drawing>
                <wp:inline distB="114300" distT="114300" distL="114300" distR="114300">
                  <wp:extent cx="671513" cy="671513"/>
                  <wp:effectExtent b="0" l="0" r="0" t="0"/>
                  <wp:docPr id="3"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671513" cy="671513"/>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Drawing and sketching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Viewpoints- drawing objects from front view, side view, aerial view.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Concentrating on how to represent objects depending on their position/angle.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Painting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Art as a form of communication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How artists use images, colour to convey a message or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Artist study: Jasper Johns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Trip to Royal Academy</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sz w:val="24"/>
          <w:szCs w:val="24"/>
          <w:rtl w:val="0"/>
        </w:rPr>
        <w:t xml:space="preserve">FRENCH</w:t>
      </w:r>
      <w:r w:rsidDel="00000000" w:rsidR="00000000" w:rsidRPr="00000000">
        <w:rPr>
          <w:rtl w:val="0"/>
        </w:rPr>
      </w:r>
    </w:p>
    <w:tbl>
      <w:tblPr>
        <w:tblStyle w:val="Table7"/>
        <w:tblW w:w="962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760"/>
        <w:gridCol w:w="4120"/>
        <w:tblGridChange w:id="0">
          <w:tblGrid>
            <w:gridCol w:w="1740"/>
            <w:gridCol w:w="3760"/>
            <w:gridCol w:w="412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sz w:val="18"/>
                <w:szCs w:val="18"/>
              </w:rPr>
              <w:drawing>
                <wp:inline distB="114300" distT="114300" distL="114300" distR="114300">
                  <wp:extent cx="716056" cy="676275"/>
                  <wp:effectExtent b="0" l="0" r="0" t="0"/>
                  <wp:docPr id="8" name="image17.jpg"/>
                  <a:graphic>
                    <a:graphicData uri="http://schemas.openxmlformats.org/drawingml/2006/picture">
                      <pic:pic>
                        <pic:nvPicPr>
                          <pic:cNvPr id="0" name="image17.jpg"/>
                          <pic:cNvPicPr preferRelativeResize="0"/>
                        </pic:nvPicPr>
                        <pic:blipFill>
                          <a:blip r:embed="rId11"/>
                          <a:srcRect b="0" l="0" r="0" t="0"/>
                          <a:stretch>
                            <a:fillRect/>
                          </a:stretch>
                        </pic:blipFill>
                        <pic:spPr>
                          <a:xfrm>
                            <a:off x="0" y="0"/>
                            <a:ext cx="71605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All About 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Greetings, classroom instructions and recognising written instructions.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Introducing yourself and our family.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Birthdays &amp; Months of the Year.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Writing a party invitation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Following simple instructions.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i w:val="1"/>
                <w:sz w:val="18"/>
                <w:szCs w:val="18"/>
              </w:rPr>
            </w:pPr>
            <w:r w:rsidDel="00000000" w:rsidR="00000000" w:rsidRPr="00000000">
              <w:rPr>
                <w:rFonts w:ascii="Trebuchet MS" w:cs="Trebuchet MS" w:eastAsia="Trebuchet MS" w:hAnsi="Trebuchet MS"/>
                <w:sz w:val="18"/>
                <w:szCs w:val="18"/>
                <w:rtl w:val="0"/>
              </w:rPr>
              <w:t xml:space="preserve">Playing</w:t>
            </w:r>
            <w:r w:rsidDel="00000000" w:rsidR="00000000" w:rsidRPr="00000000">
              <w:rPr>
                <w:rFonts w:ascii="Trebuchet MS" w:cs="Trebuchet MS" w:eastAsia="Trebuchet MS" w:hAnsi="Trebuchet MS"/>
                <w:i w:val="1"/>
                <w:sz w:val="18"/>
                <w:szCs w:val="18"/>
                <w:rtl w:val="0"/>
              </w:rPr>
              <w:t xml:space="preserve"> Jacques a dit</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Portraits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Parts of the body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Colours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Descriptions of people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Our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Making a wish list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Numbers 1-30</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MUSIC</w:t>
      </w:r>
    </w:p>
    <w:tbl>
      <w:tblPr>
        <w:tblStyle w:val="Table8"/>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240"/>
        <w:gridCol w:w="4650"/>
        <w:tblGridChange w:id="0">
          <w:tblGrid>
            <w:gridCol w:w="1740"/>
            <w:gridCol w:w="3240"/>
            <w:gridCol w:w="4650"/>
          </w:tblGrid>
        </w:tblGridChange>
      </w:tblGrid>
      <w:tr>
        <w:trPr>
          <w:trHeight w:val="134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1084533" cy="661988"/>
                  <wp:effectExtent b="0" l="0" r="0" t="0"/>
                  <wp:docPr id="10"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1084533" cy="66198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rPr>
            </w:pP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Integrated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Listening to favourite songs, discussing the differences in music taste.  How to share our love for certain songs or music style?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How music connects to images - listen to famous songs inspired by paintings.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Create music to a set of images. </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Stand alone</w:t>
            </w:r>
          </w:p>
          <w:p w:rsidR="00000000" w:rsidDel="00000000" w:rsidP="00000000" w:rsidRDefault="00000000" w:rsidRPr="00000000">
            <w:pPr>
              <w:widowControl w:val="0"/>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Saying chants and rhymes and simple use of instruments. Develop appraising skills across a range of music styles. </w:t>
            </w:r>
          </w:p>
          <w:p w:rsidR="00000000" w:rsidDel="00000000" w:rsidP="00000000" w:rsidRDefault="00000000" w:rsidRPr="00000000">
            <w:pPr>
              <w:widowControl w:val="0"/>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Instruments: Back to basics: revise and improve knowledge and application of rhythm, pulse, tempo, metre, bars, note and rest lengths.</w:t>
            </w:r>
          </w:p>
          <w:p w:rsidR="00000000" w:rsidDel="00000000" w:rsidP="00000000" w:rsidRDefault="00000000" w:rsidRPr="00000000">
            <w:pPr>
              <w:widowControl w:val="0"/>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Discriminate between different sounds and instruments.</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PE</w:t>
      </w:r>
    </w:p>
    <w:tbl>
      <w:tblPr>
        <w:tblStyle w:val="Table9"/>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560"/>
        <w:gridCol w:w="3330"/>
        <w:tblGridChange w:id="0">
          <w:tblGrid>
            <w:gridCol w:w="1740"/>
            <w:gridCol w:w="4560"/>
            <w:gridCol w:w="333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867886" cy="676275"/>
                  <wp:effectExtent b="0" l="0" r="0" t="0"/>
                  <wp:docPr id="5"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86788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Invasion Games: Netball, Football, Handball and Speedball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In Games, Year 3 students will begin to develop sport-specific skills for netball, football, Handball and Speedball. These skills will be practised in small group activities and applied to modified games. Skills include dribbling, passing and shooting. Students will also develop an understanding of the rules and playing positions of each sport.</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Invasion Games: Hockey and Basketball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 PE, students will work independently and in small groups to begin developing dribbling, passing and shooting skills in basketball and hockey. These skills will be practised in modified games and activities with an emphasis on ball control.</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sectPr>
      <w:headerReference r:id="rId14" w:type="default"/>
      <w:pgSz w:h="15840" w:w="12240"/>
      <w:pgMar w:bottom="1440.0000000000002" w:top="1440.0000000000002" w:left="1440.0000000000002" w:right="11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sz w:val="28"/>
        <w:szCs w:val="28"/>
      </w:rPr>
    </w:pPr>
    <w:r w:rsidDel="00000000" w:rsidR="00000000" w:rsidRPr="00000000">
      <w:rPr>
        <w:rtl w:val="0"/>
      </w:rPr>
    </w:r>
  </w:p>
  <w:tbl>
    <w:tblPr>
      <w:tblStyle w:val="Table10"/>
      <w:tblW w:w="9600.0" w:type="dxa"/>
      <w:jc w:val="left"/>
      <w:tblInd w:w="100.0" w:type="pct"/>
      <w:tblLayout w:type="fixed"/>
      <w:tblLook w:val="0600"/>
    </w:tblPr>
    <w:tblGrid>
      <w:gridCol w:w="7800"/>
      <w:gridCol w:w="1800"/>
      <w:tblGridChange w:id="0">
        <w:tblGrid>
          <w:gridCol w:w="7800"/>
          <w:gridCol w:w="1800"/>
        </w:tblGrid>
      </w:tblGridChange>
    </w:tblGrid>
    <w:tr>
      <w:trPr>
        <w:trHeight w:val="124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righ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YEAR 3 </w:t>
          </w:r>
          <w:r w:rsidDel="00000000" w:rsidR="00000000" w:rsidRPr="00000000">
            <w:rPr>
              <w:rFonts w:ascii="Trebuchet MS" w:cs="Trebuchet MS" w:eastAsia="Trebuchet MS" w:hAnsi="Trebuchet MS"/>
              <w:b w:val="1"/>
              <w:sz w:val="28"/>
              <w:szCs w:val="28"/>
              <w:rtl w:val="0"/>
            </w:rPr>
            <w:t xml:space="preserve">CURRICULUM OVERVIEW</w:t>
          </w:r>
          <w:r w:rsidDel="00000000" w:rsidR="00000000" w:rsidRPr="00000000">
            <w:rPr>
              <w:rFonts w:ascii="Trebuchet MS" w:cs="Trebuchet MS" w:eastAsia="Trebuchet MS" w:hAnsi="Trebuchet MS"/>
              <w:b w:val="1"/>
              <w:sz w:val="28"/>
              <w:szCs w:val="28"/>
              <w:rtl w:val="0"/>
            </w:rPr>
            <w:t xml:space="preserve"> Term 1 2017-18</w:t>
          </w:r>
        </w:p>
      </w:tc>
      <w:tc>
        <w:tcPr>
          <w:shd w:fill="auto" w:val="clear"/>
          <w:tcMar>
            <w:top w:w="17.007874015748033" w:type="dxa"/>
            <w:left w:w="17.007874015748033" w:type="dxa"/>
            <w:bottom w:w="17.007874015748033" w:type="dxa"/>
            <w:right w:w="17.007874015748033"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114300" distT="114300" distL="114300" distR="114300">
                <wp:extent cx="733425" cy="733425"/>
                <wp:effectExtent b="0" l="0" r="0" t="0"/>
                <wp:docPr id="6" name="image15.jpg"/>
                <a:graphic>
                  <a:graphicData uri="http://schemas.openxmlformats.org/drawingml/2006/picture">
                    <pic:pic>
                      <pic:nvPicPr>
                        <pic:cNvPr id="0" name="image15.jpg"/>
                        <pic:cNvPicPr preferRelativeResize="0"/>
                      </pic:nvPicPr>
                      <pic:blipFill>
                        <a:blip r:embed="rId1"/>
                        <a:srcRect b="0" l="0" r="0" t="0"/>
                        <a:stretch>
                          <a:fillRect/>
                        </a:stretch>
                      </pic:blipFill>
                      <pic:spPr>
                        <a:xfrm>
                          <a:off x="0" y="0"/>
                          <a:ext cx="733425" cy="73342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7.jpg"/><Relationship Id="rId10" Type="http://schemas.openxmlformats.org/officeDocument/2006/relationships/image" Target="media/image11.png"/><Relationship Id="rId13" Type="http://schemas.openxmlformats.org/officeDocument/2006/relationships/image" Target="media/image14.png"/><Relationship Id="rId12"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8.jpg"/><Relationship Id="rId14" Type="http://schemas.openxmlformats.org/officeDocument/2006/relationships/header" Target="header1.xml"/><Relationship Id="rId5" Type="http://schemas.openxmlformats.org/officeDocument/2006/relationships/image" Target="media/image7.png"/><Relationship Id="rId6" Type="http://schemas.openxmlformats.org/officeDocument/2006/relationships/image" Target="media/image12.png"/><Relationship Id="rId7" Type="http://schemas.openxmlformats.org/officeDocument/2006/relationships/image" Target="media/image18.gif"/><Relationship Id="rId8" Type="http://schemas.openxmlformats.org/officeDocument/2006/relationships/image" Target="media/image16.gif"/></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